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79" w:rsidRPr="00672A98" w:rsidRDefault="003C0A79" w:rsidP="003C0A79">
      <w:pPr>
        <w:jc w:val="center"/>
        <w:rPr>
          <w:b/>
        </w:rPr>
      </w:pPr>
      <w:r w:rsidRPr="00672A98">
        <w:rPr>
          <w:b/>
        </w:rPr>
        <w:t xml:space="preserve">MINUTES OF COUNCIL MEETING </w:t>
      </w:r>
      <w:r>
        <w:rPr>
          <w:b/>
        </w:rPr>
        <w:t>1st JUNE 2015</w:t>
      </w:r>
    </w:p>
    <w:p w:rsidR="003C0A79" w:rsidRPr="0012447E" w:rsidRDefault="003C0A79" w:rsidP="003C0A79">
      <w:pPr>
        <w:jc w:val="center"/>
        <w:rPr>
          <w:b/>
        </w:rPr>
      </w:pPr>
      <w:r w:rsidRPr="00672A98">
        <w:rPr>
          <w:b/>
        </w:rPr>
        <w:t>IN RUNWELL VILLAGE HALL AT 8.00PM</w:t>
      </w:r>
    </w:p>
    <w:p w:rsidR="003C0A79" w:rsidRPr="007645AF" w:rsidRDefault="003C0A79" w:rsidP="003C0A79">
      <w:pPr>
        <w:rPr>
          <w:b/>
        </w:rPr>
      </w:pPr>
    </w:p>
    <w:p w:rsidR="003C0A79" w:rsidRDefault="003C0A79" w:rsidP="003C0A79">
      <w:r w:rsidRPr="00672A98">
        <w:rPr>
          <w:b/>
        </w:rPr>
        <w:t>IN ATTENDANCE</w:t>
      </w:r>
      <w:r>
        <w:t xml:space="preserve">: - Vice Chairman: Mr. R. Lerwill; Messrs. Clark, Croot, Martin, Rogers and Sloane Mesdames: Martin, </w:t>
      </w:r>
      <w:r w:rsidRPr="00672A98">
        <w:t>Payne</w:t>
      </w:r>
      <w:r>
        <w:t xml:space="preserve"> and Waterhouse. </w:t>
      </w:r>
      <w:r w:rsidR="00B011C3">
        <w:t>CCC L Millane</w:t>
      </w:r>
      <w:r w:rsidR="00BD6E3C">
        <w:t>.</w:t>
      </w:r>
    </w:p>
    <w:p w:rsidR="00BD6E3C" w:rsidRDefault="00BD6E3C" w:rsidP="003C0A79"/>
    <w:p w:rsidR="00BD6E3C" w:rsidRDefault="00BD6E3C" w:rsidP="003C0A79">
      <w:r>
        <w:t>The Vice Chairman Robert Lerwill chaired the meeting due to the absence of Mr. Bill Lansdale.</w:t>
      </w:r>
    </w:p>
    <w:p w:rsidR="008D6892" w:rsidRDefault="008D6892" w:rsidP="003C0A79"/>
    <w:p w:rsidR="008D6892" w:rsidRPr="00672A98" w:rsidRDefault="008D6892" w:rsidP="003C0A79">
      <w:r>
        <w:t>Prior to the meeting the Council formally co-opted Tim Waterhouse to fill the vacancy. Mr Waterhouse signed his Acceptance of Office and took his seat with the members.</w:t>
      </w:r>
    </w:p>
    <w:p w:rsidR="003C0A79" w:rsidRPr="007645AF" w:rsidRDefault="003C0A79" w:rsidP="003C0A79"/>
    <w:p w:rsidR="003C0A79" w:rsidRPr="00FE4320" w:rsidRDefault="00EB2B93" w:rsidP="003C0A79">
      <w:r>
        <w:rPr>
          <w:b/>
        </w:rPr>
        <w:t xml:space="preserve">Minute 17 </w:t>
      </w:r>
      <w:r w:rsidR="003C0A79" w:rsidRPr="00FE4320">
        <w:rPr>
          <w:b/>
        </w:rPr>
        <w:t>Apologies: -</w:t>
      </w:r>
      <w:r w:rsidR="003C0A79" w:rsidRPr="00FE4320">
        <w:t xml:space="preserve"> </w:t>
      </w:r>
      <w:r w:rsidR="003C0A79">
        <w:t xml:space="preserve">Messrs Grummett &amp; Lansdale; </w:t>
      </w:r>
      <w:r w:rsidR="003C0A79" w:rsidRPr="00FE4320">
        <w:t>Mrs S Var</w:t>
      </w:r>
      <w:r w:rsidR="003C0A79">
        <w:t>ney;</w:t>
      </w:r>
      <w:r w:rsidR="003C0A79" w:rsidRPr="00FE4320">
        <w:t xml:space="preserve"> CCC R. Ride</w:t>
      </w:r>
    </w:p>
    <w:p w:rsidR="003C0A79" w:rsidRPr="007645AF" w:rsidRDefault="003C0A79" w:rsidP="003C0A79"/>
    <w:p w:rsidR="003C0A79" w:rsidRDefault="00EB2B93" w:rsidP="003C0A79">
      <w:pPr>
        <w:rPr>
          <w:b/>
        </w:rPr>
      </w:pPr>
      <w:r>
        <w:rPr>
          <w:b/>
        </w:rPr>
        <w:t xml:space="preserve">Minute 18 </w:t>
      </w:r>
      <w:r w:rsidR="003C0A79" w:rsidRPr="00672A98">
        <w:rPr>
          <w:b/>
        </w:rPr>
        <w:t xml:space="preserve">Declarations of Interest </w:t>
      </w:r>
      <w:r w:rsidR="003C0A79">
        <w:rPr>
          <w:b/>
        </w:rPr>
        <w:t xml:space="preserve">– </w:t>
      </w:r>
      <w:r>
        <w:t>None declared</w:t>
      </w:r>
    </w:p>
    <w:p w:rsidR="003C0A79" w:rsidRPr="007645AF" w:rsidRDefault="003C0A79" w:rsidP="003C0A79"/>
    <w:p w:rsidR="003C0A79" w:rsidRPr="00E5573D" w:rsidRDefault="00EB2B93" w:rsidP="003C0A79">
      <w:r>
        <w:rPr>
          <w:b/>
        </w:rPr>
        <w:t>Minute 19</w:t>
      </w:r>
      <w:r w:rsidR="003C0A79" w:rsidRPr="00672A98">
        <w:rPr>
          <w:b/>
        </w:rPr>
        <w:t xml:space="preserve"> </w:t>
      </w:r>
      <w:r w:rsidR="003C0A79">
        <w:rPr>
          <w:b/>
        </w:rPr>
        <w:t>Public Participation</w:t>
      </w:r>
    </w:p>
    <w:p w:rsidR="003C0A79" w:rsidRDefault="00EB2B93" w:rsidP="00EB2B93">
      <w:pPr>
        <w:pStyle w:val="ListParagraph"/>
        <w:numPr>
          <w:ilvl w:val="0"/>
          <w:numId w:val="2"/>
        </w:numPr>
      </w:pPr>
      <w:r>
        <w:t xml:space="preserve">LP commented that her neighbour had </w:t>
      </w:r>
      <w:r w:rsidR="00053880">
        <w:t>been visited by a CCC Planning E</w:t>
      </w:r>
      <w:r>
        <w:t>nforcement Officer regarding the construction of a treehouse in his garden.</w:t>
      </w:r>
      <w:r w:rsidR="00053880">
        <w:t xml:space="preserve"> The Council discussed the issue. It was unknown who had reported the matter.</w:t>
      </w:r>
    </w:p>
    <w:p w:rsidR="00053880" w:rsidRDefault="00053880" w:rsidP="00EB2B93">
      <w:pPr>
        <w:pStyle w:val="ListParagraph"/>
        <w:numPr>
          <w:ilvl w:val="0"/>
          <w:numId w:val="2"/>
        </w:numPr>
      </w:pPr>
      <w:r>
        <w:t>LP enquired whether there was news about the Wantz Corner Sign, Clerk confirmed the matter had been reported nothing further heard.</w:t>
      </w:r>
    </w:p>
    <w:p w:rsidR="00053880" w:rsidRDefault="00053880" w:rsidP="00EB2B93">
      <w:pPr>
        <w:pStyle w:val="ListParagraph"/>
        <w:numPr>
          <w:ilvl w:val="0"/>
          <w:numId w:val="2"/>
        </w:numPr>
      </w:pPr>
      <w:r>
        <w:t>YW asked about the origins of the leaflet circulated entitled “The Truth”; this was nothing to do with Runwell Parish Council the Chairman (BL) had asked for an article to be placed in the forthcoming edition of the Runwell Roundabout declaring this fact.</w:t>
      </w:r>
    </w:p>
    <w:p w:rsidR="003C0A79" w:rsidRPr="007645AF" w:rsidRDefault="003C0A79" w:rsidP="003C0A79"/>
    <w:p w:rsidR="003C0A79" w:rsidRPr="00672A98" w:rsidRDefault="00781CE4" w:rsidP="003C0A79">
      <w:r>
        <w:rPr>
          <w:b/>
        </w:rPr>
        <w:t>Minute 20</w:t>
      </w:r>
      <w:r w:rsidR="003C0A79" w:rsidRPr="00672A98">
        <w:rPr>
          <w:b/>
        </w:rPr>
        <w:t xml:space="preserve"> </w:t>
      </w:r>
      <w:r w:rsidR="003C0A79" w:rsidRPr="00672A98">
        <w:t>The M</w:t>
      </w:r>
      <w:r w:rsidR="003C0A79">
        <w:t xml:space="preserve">inutes of </w:t>
      </w:r>
      <w:r>
        <w:t>Council Meeting 11</w:t>
      </w:r>
      <w:r w:rsidR="003C0A79">
        <w:t>th May</w:t>
      </w:r>
      <w:r>
        <w:t xml:space="preserve"> 2015</w:t>
      </w:r>
      <w:r w:rsidR="003C0A79">
        <w:t xml:space="preserve"> were approved and signed by the Chair</w:t>
      </w:r>
      <w:r>
        <w:t>man as a true record</w:t>
      </w:r>
    </w:p>
    <w:p w:rsidR="003C0A79" w:rsidRDefault="003C0A79" w:rsidP="003C0A79">
      <w:pPr>
        <w:rPr>
          <w:b/>
        </w:rPr>
      </w:pPr>
    </w:p>
    <w:p w:rsidR="003C0A79" w:rsidRPr="00D455E6" w:rsidRDefault="00781CE4" w:rsidP="003C0A79">
      <w:pPr>
        <w:rPr>
          <w:sz w:val="22"/>
          <w:szCs w:val="22"/>
        </w:rPr>
      </w:pPr>
      <w:r>
        <w:rPr>
          <w:b/>
        </w:rPr>
        <w:t>Minute 21</w:t>
      </w:r>
      <w:r w:rsidR="003C0A79" w:rsidRPr="00672A98">
        <w:rPr>
          <w:b/>
        </w:rPr>
        <w:t xml:space="preserve"> Clerks Report </w:t>
      </w:r>
      <w:r w:rsidR="003C0A79">
        <w:t xml:space="preserve">– </w:t>
      </w:r>
      <w:r w:rsidR="0012354F">
        <w:rPr>
          <w:sz w:val="22"/>
          <w:szCs w:val="22"/>
        </w:rPr>
        <w:t>See Appendix 1 (matters raised regarding Hall and Village Sign minuted below)</w:t>
      </w:r>
    </w:p>
    <w:p w:rsidR="003C0A79" w:rsidRPr="007645AF" w:rsidRDefault="003C0A79" w:rsidP="003C0A79">
      <w:pPr>
        <w:rPr>
          <w:b/>
        </w:rPr>
      </w:pPr>
    </w:p>
    <w:p w:rsidR="003C0A79" w:rsidRDefault="0012354F" w:rsidP="003C0A79">
      <w:pPr>
        <w:rPr>
          <w:b/>
        </w:rPr>
      </w:pPr>
      <w:r>
        <w:rPr>
          <w:b/>
        </w:rPr>
        <w:t>Minute 22</w:t>
      </w:r>
      <w:r w:rsidR="003C0A79" w:rsidRPr="00672A98">
        <w:rPr>
          <w:b/>
        </w:rPr>
        <w:t xml:space="preserve"> Finance</w:t>
      </w:r>
    </w:p>
    <w:tbl>
      <w:tblPr>
        <w:tblW w:w="9639" w:type="dxa"/>
        <w:tblLook w:val="04A0" w:firstRow="1" w:lastRow="0" w:firstColumn="1" w:lastColumn="0" w:noHBand="0" w:noVBand="1"/>
      </w:tblPr>
      <w:tblGrid>
        <w:gridCol w:w="2080"/>
        <w:gridCol w:w="936"/>
        <w:gridCol w:w="2000"/>
        <w:gridCol w:w="977"/>
        <w:gridCol w:w="2440"/>
        <w:gridCol w:w="1266"/>
      </w:tblGrid>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rPr>
                <w:color w:val="000000"/>
                <w:u w:val="single"/>
                <w:lang w:eastAsia="en-GB"/>
              </w:rPr>
            </w:pPr>
            <w:r w:rsidRPr="000D6835">
              <w:rPr>
                <w:color w:val="000000"/>
                <w:u w:val="single"/>
                <w:lang w:eastAsia="en-GB"/>
              </w:rPr>
              <w:t>Petty Cash</w:t>
            </w:r>
            <w:r w:rsidRPr="000D6835">
              <w:rPr>
                <w:b/>
                <w:bCs/>
                <w:color w:val="000000"/>
                <w:u w:val="single"/>
                <w:lang w:eastAsia="en-GB"/>
              </w:rPr>
              <w:t xml:space="preserve"> </w:t>
            </w:r>
          </w:p>
        </w:tc>
        <w:tc>
          <w:tcPr>
            <w:tcW w:w="876" w:type="dxa"/>
            <w:tcBorders>
              <w:top w:val="nil"/>
              <w:left w:val="nil"/>
              <w:bottom w:val="nil"/>
              <w:right w:val="nil"/>
            </w:tcBorders>
            <w:shd w:val="clear" w:color="auto" w:fill="auto"/>
            <w:noWrap/>
            <w:vAlign w:val="bottom"/>
            <w:hideMark/>
          </w:tcPr>
          <w:p w:rsidR="000D6835" w:rsidRPr="000D6835" w:rsidRDefault="000D6835" w:rsidP="000D6835">
            <w:pPr>
              <w:rPr>
                <w:color w:val="000000"/>
                <w:u w:val="single"/>
                <w:lang w:eastAsia="en-GB"/>
              </w:rPr>
            </w:pP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1266"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Park - Line paint</w:t>
            </w:r>
          </w:p>
        </w:tc>
        <w:tc>
          <w:tcPr>
            <w:tcW w:w="87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£22.00</w:t>
            </w: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Park - Fuel</w:t>
            </w:r>
          </w:p>
        </w:tc>
        <w:tc>
          <w:tcPr>
            <w:tcW w:w="977"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£24.93</w:t>
            </w: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Stamps 12@2nd/6@1</w:t>
            </w:r>
            <w:r w:rsidRPr="00BD65EC">
              <w:rPr>
                <w:color w:val="000000"/>
                <w:vertAlign w:val="superscript"/>
                <w:lang w:eastAsia="en-GB"/>
              </w:rPr>
              <w:t>st</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£10.26</w:t>
            </w:r>
          </w:p>
        </w:tc>
      </w:tr>
      <w:tr w:rsidR="000D6835" w:rsidRPr="000D6835" w:rsidTr="008D6892">
        <w:trPr>
          <w:trHeight w:val="315"/>
        </w:trPr>
        <w:tc>
          <w:tcPr>
            <w:tcW w:w="2080" w:type="dxa"/>
            <w:tcBorders>
              <w:top w:val="nil"/>
              <w:left w:val="nil"/>
              <w:bottom w:val="nil"/>
              <w:right w:val="nil"/>
            </w:tcBorders>
            <w:shd w:val="clear" w:color="auto" w:fill="auto"/>
            <w:noWrap/>
            <w:vAlign w:val="center"/>
            <w:hideMark/>
          </w:tcPr>
          <w:p w:rsidR="000D6835" w:rsidRPr="000D6835" w:rsidRDefault="000D6835" w:rsidP="000D6835">
            <w:pPr>
              <w:jc w:val="right"/>
              <w:rPr>
                <w:color w:val="000000"/>
                <w:lang w:eastAsia="en-GB"/>
              </w:rPr>
            </w:pPr>
          </w:p>
        </w:tc>
        <w:tc>
          <w:tcPr>
            <w:tcW w:w="876"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b/>
                <w:bCs/>
                <w:color w:val="000000"/>
                <w:lang w:eastAsia="en-GB"/>
              </w:rPr>
            </w:pPr>
            <w:r w:rsidRPr="000D6835">
              <w:rPr>
                <w:b/>
                <w:bCs/>
                <w:color w:val="000000"/>
                <w:lang w:eastAsia="en-GB"/>
              </w:rPr>
              <w:t>Total</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b/>
                <w:bCs/>
                <w:color w:val="000000"/>
                <w:lang w:eastAsia="en-GB"/>
              </w:rPr>
            </w:pPr>
            <w:r w:rsidRPr="000D6835">
              <w:rPr>
                <w:b/>
                <w:bCs/>
                <w:color w:val="000000"/>
                <w:lang w:eastAsia="en-GB"/>
              </w:rPr>
              <w:t>£57.19</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245D59" w:rsidP="000D6835">
            <w:pPr>
              <w:rPr>
                <w:sz w:val="20"/>
                <w:szCs w:val="20"/>
                <w:lang w:eastAsia="en-GB"/>
              </w:rPr>
            </w:pPr>
            <w:r w:rsidRPr="000D6835">
              <w:rPr>
                <w:color w:val="000000"/>
                <w:u w:val="single"/>
                <w:lang w:eastAsia="en-GB"/>
              </w:rPr>
              <w:t>Cheques to issue</w:t>
            </w:r>
          </w:p>
        </w:tc>
        <w:tc>
          <w:tcPr>
            <w:tcW w:w="876"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440" w:type="dxa"/>
            <w:tcBorders>
              <w:top w:val="nil"/>
              <w:left w:val="nil"/>
              <w:bottom w:val="nil"/>
              <w:right w:val="nil"/>
            </w:tcBorders>
            <w:shd w:val="clear" w:color="auto" w:fill="auto"/>
            <w:noWrap/>
            <w:vAlign w:val="bottom"/>
          </w:tcPr>
          <w:p w:rsidR="000D6835" w:rsidRPr="000D6835" w:rsidRDefault="000D6835" w:rsidP="000D6835">
            <w:pPr>
              <w:rPr>
                <w:b/>
                <w:bCs/>
                <w:color w:val="000000"/>
                <w:lang w:eastAsia="en-GB"/>
              </w:rPr>
            </w:pPr>
          </w:p>
        </w:tc>
        <w:tc>
          <w:tcPr>
            <w:tcW w:w="1266" w:type="dxa"/>
            <w:tcBorders>
              <w:top w:val="nil"/>
              <w:left w:val="nil"/>
              <w:bottom w:val="nil"/>
              <w:right w:val="nil"/>
            </w:tcBorders>
            <w:shd w:val="clear" w:color="auto" w:fill="auto"/>
            <w:noWrap/>
            <w:vAlign w:val="bottom"/>
          </w:tcPr>
          <w:p w:rsidR="000D6835" w:rsidRPr="000D6835" w:rsidRDefault="000D6835" w:rsidP="000D6835">
            <w:pPr>
              <w:jc w:val="right"/>
              <w:rPr>
                <w:b/>
                <w:bCs/>
                <w:color w:val="000000"/>
                <w:lang w:eastAsia="en-GB"/>
              </w:rPr>
            </w:pP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106944</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Mrs J Pharez</w:t>
            </w: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Salary</w:t>
            </w: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106945</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Mrs G Smith</w:t>
            </w: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Salary</w:t>
            </w: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106946</w:t>
            </w:r>
          </w:p>
        </w:tc>
        <w:tc>
          <w:tcPr>
            <w:tcW w:w="876" w:type="dxa"/>
            <w:tcBorders>
              <w:top w:val="nil"/>
              <w:left w:val="nil"/>
              <w:bottom w:val="nil"/>
              <w:right w:val="nil"/>
            </w:tcBorders>
            <w:shd w:val="clear" w:color="auto" w:fill="auto"/>
            <w:noWrap/>
            <w:vAlign w:val="bottom"/>
            <w:hideMark/>
          </w:tcPr>
          <w:p w:rsidR="000D6835" w:rsidRPr="000D6835" w:rsidRDefault="004F7027" w:rsidP="000D6835">
            <w:pPr>
              <w:rPr>
                <w:color w:val="000000"/>
                <w:lang w:eastAsia="en-GB"/>
              </w:rPr>
            </w:pPr>
            <w:r>
              <w:rPr>
                <w:color w:val="000000"/>
                <w:lang w:eastAsia="en-GB"/>
              </w:rPr>
              <w:t>L</w:t>
            </w:r>
            <w:bookmarkStart w:id="0" w:name="_GoBack"/>
            <w:bookmarkEnd w:id="0"/>
            <w:r w:rsidR="000D6835" w:rsidRPr="000D6835">
              <w:rPr>
                <w:color w:val="000000"/>
                <w:lang w:eastAsia="en-GB"/>
              </w:rPr>
              <w:t>Vallis</w:t>
            </w: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Groundsman - 4 weeks</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£1,196.00</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106947</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Essex Pension Fund</w:t>
            </w: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Pension</w:t>
            </w:r>
          </w:p>
        </w:tc>
        <w:tc>
          <w:tcPr>
            <w:tcW w:w="244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£382.79</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106948</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DMR Garden Services</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Hall Garden</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£60.00</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106949</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BF Ground Maintenance Ltd</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Park - 2 Cuts</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£264.00</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106950</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J Stokes</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Replaces cheque 106939</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£20.00</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106951</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Z Crudgington</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Returnable deposit</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£50.00</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106952</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Aon UK Ltd</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Annual Insurance Premium</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£2,946.04</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106953</w:t>
            </w:r>
          </w:p>
        </w:tc>
        <w:tc>
          <w:tcPr>
            <w:tcW w:w="876"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Cash</w:t>
            </w: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Petty cash as above</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£57.19</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jc w:val="center"/>
              <w:rPr>
                <w:color w:val="000000"/>
                <w:lang w:eastAsia="en-GB"/>
              </w:rPr>
            </w:pPr>
            <w:r w:rsidRPr="000D6835">
              <w:rPr>
                <w:color w:val="000000"/>
                <w:lang w:eastAsia="en-GB"/>
              </w:rPr>
              <w:t>Direct Debit</w:t>
            </w:r>
          </w:p>
        </w:tc>
        <w:tc>
          <w:tcPr>
            <w:tcW w:w="2876"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J &amp; J Pharez</w:t>
            </w:r>
          </w:p>
        </w:tc>
        <w:tc>
          <w:tcPr>
            <w:tcW w:w="3417" w:type="dxa"/>
            <w:gridSpan w:val="2"/>
            <w:tcBorders>
              <w:top w:val="nil"/>
              <w:left w:val="nil"/>
              <w:bottom w:val="nil"/>
              <w:right w:val="nil"/>
            </w:tcBorders>
            <w:shd w:val="clear" w:color="auto" w:fill="auto"/>
            <w:noWrap/>
            <w:vAlign w:val="bottom"/>
            <w:hideMark/>
          </w:tcPr>
          <w:p w:rsidR="000D6835" w:rsidRPr="000D6835" w:rsidRDefault="000D6835" w:rsidP="000D6835">
            <w:pPr>
              <w:rPr>
                <w:color w:val="000000"/>
                <w:lang w:eastAsia="en-GB"/>
              </w:rPr>
            </w:pPr>
            <w:r w:rsidRPr="000D6835">
              <w:rPr>
                <w:color w:val="000000"/>
                <w:lang w:eastAsia="en-GB"/>
              </w:rPr>
              <w:t>Broadband for CCTV</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color w:val="000000"/>
                <w:lang w:eastAsia="en-GB"/>
              </w:rPr>
            </w:pPr>
            <w:r w:rsidRPr="000D6835">
              <w:rPr>
                <w:color w:val="000000"/>
                <w:lang w:eastAsia="en-GB"/>
              </w:rPr>
              <w:t>£12.21</w:t>
            </w:r>
          </w:p>
        </w:tc>
      </w:tr>
      <w:tr w:rsidR="000D6835" w:rsidRPr="000D6835" w:rsidTr="008D6892">
        <w:trPr>
          <w:trHeight w:val="315"/>
        </w:trPr>
        <w:tc>
          <w:tcPr>
            <w:tcW w:w="208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876" w:type="dxa"/>
            <w:tcBorders>
              <w:top w:val="nil"/>
              <w:left w:val="nil"/>
              <w:bottom w:val="nil"/>
              <w:right w:val="nil"/>
            </w:tcBorders>
            <w:shd w:val="clear" w:color="auto" w:fill="auto"/>
            <w:noWrap/>
            <w:vAlign w:val="bottom"/>
            <w:hideMark/>
          </w:tcPr>
          <w:p w:rsidR="000D6835" w:rsidRPr="000D6835" w:rsidRDefault="000D6835" w:rsidP="000D6835">
            <w:pPr>
              <w:jc w:val="center"/>
              <w:rPr>
                <w:sz w:val="20"/>
                <w:szCs w:val="20"/>
                <w:lang w:eastAsia="en-GB"/>
              </w:rPr>
            </w:pPr>
          </w:p>
        </w:tc>
        <w:tc>
          <w:tcPr>
            <w:tcW w:w="2000"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977" w:type="dxa"/>
            <w:tcBorders>
              <w:top w:val="nil"/>
              <w:left w:val="nil"/>
              <w:bottom w:val="nil"/>
              <w:right w:val="nil"/>
            </w:tcBorders>
            <w:shd w:val="clear" w:color="auto" w:fill="auto"/>
            <w:noWrap/>
            <w:vAlign w:val="bottom"/>
            <w:hideMark/>
          </w:tcPr>
          <w:p w:rsidR="000D6835" w:rsidRPr="000D6835" w:rsidRDefault="000D6835" w:rsidP="000D6835">
            <w:pPr>
              <w:rPr>
                <w:sz w:val="20"/>
                <w:szCs w:val="20"/>
                <w:lang w:eastAsia="en-GB"/>
              </w:rPr>
            </w:pPr>
          </w:p>
        </w:tc>
        <w:tc>
          <w:tcPr>
            <w:tcW w:w="2440" w:type="dxa"/>
            <w:tcBorders>
              <w:top w:val="nil"/>
              <w:left w:val="nil"/>
              <w:bottom w:val="nil"/>
              <w:right w:val="nil"/>
            </w:tcBorders>
            <w:shd w:val="clear" w:color="auto" w:fill="auto"/>
            <w:noWrap/>
            <w:vAlign w:val="bottom"/>
            <w:hideMark/>
          </w:tcPr>
          <w:p w:rsidR="000D6835" w:rsidRPr="000D6835" w:rsidRDefault="000D6835" w:rsidP="000D6835">
            <w:pPr>
              <w:jc w:val="center"/>
              <w:rPr>
                <w:b/>
                <w:bCs/>
                <w:color w:val="000000"/>
                <w:lang w:eastAsia="en-GB"/>
              </w:rPr>
            </w:pPr>
            <w:r w:rsidRPr="000D6835">
              <w:rPr>
                <w:b/>
                <w:bCs/>
                <w:color w:val="000000"/>
                <w:lang w:eastAsia="en-GB"/>
              </w:rPr>
              <w:t>Total</w:t>
            </w:r>
          </w:p>
        </w:tc>
        <w:tc>
          <w:tcPr>
            <w:tcW w:w="1266" w:type="dxa"/>
            <w:tcBorders>
              <w:top w:val="nil"/>
              <w:left w:val="nil"/>
              <w:bottom w:val="nil"/>
              <w:right w:val="nil"/>
            </w:tcBorders>
            <w:shd w:val="clear" w:color="auto" w:fill="auto"/>
            <w:noWrap/>
            <w:vAlign w:val="bottom"/>
            <w:hideMark/>
          </w:tcPr>
          <w:p w:rsidR="000D6835" w:rsidRPr="000D6835" w:rsidRDefault="000D6835" w:rsidP="000D6835">
            <w:pPr>
              <w:jc w:val="right"/>
              <w:rPr>
                <w:b/>
                <w:bCs/>
                <w:color w:val="000000"/>
                <w:lang w:eastAsia="en-GB"/>
              </w:rPr>
            </w:pPr>
            <w:r w:rsidRPr="000D6835">
              <w:rPr>
                <w:b/>
                <w:bCs/>
                <w:color w:val="000000"/>
                <w:lang w:eastAsia="en-GB"/>
              </w:rPr>
              <w:t>£6,544.08</w:t>
            </w:r>
          </w:p>
        </w:tc>
      </w:tr>
    </w:tbl>
    <w:p w:rsidR="00F34151" w:rsidRDefault="00F34151" w:rsidP="003C0A79"/>
    <w:p w:rsidR="003C0A79" w:rsidRDefault="003C0A79" w:rsidP="003C0A79">
      <w:r>
        <w:t>The Council agreed</w:t>
      </w:r>
      <w:r w:rsidR="00B529A0">
        <w:t xml:space="preserve"> to transfer £20</w:t>
      </w:r>
      <w:r>
        <w:t>00.00 from Business Tracker Account to Current Account to cover these payments.</w:t>
      </w:r>
    </w:p>
    <w:p w:rsidR="008D6892" w:rsidRDefault="008D6892" w:rsidP="003C0A79">
      <w:r>
        <w:lastRenderedPageBreak/>
        <w:t>(ii) Approval of Annual Return 2014/15 – the Council</w:t>
      </w:r>
      <w:r w:rsidR="0084260D">
        <w:t xml:space="preserve"> approved the figures submitted on Page 2 of the Annual Return</w:t>
      </w:r>
      <w:r w:rsidR="0004636C">
        <w:t xml:space="preserve"> – Accounting Statements</w:t>
      </w:r>
      <w:r w:rsidR="0084260D">
        <w:t xml:space="preserve">. The Council reviewed </w:t>
      </w:r>
      <w:r w:rsidR="0004636C">
        <w:t xml:space="preserve">and approved </w:t>
      </w:r>
      <w:r w:rsidR="0084260D">
        <w:t xml:space="preserve">the Annual Governance Statement Page 3 and approved the Audit Plan for the forthcoming year. </w:t>
      </w:r>
    </w:p>
    <w:p w:rsidR="00BD6E3C" w:rsidRDefault="00BD6E3C" w:rsidP="003C0A79"/>
    <w:p w:rsidR="003C0A79" w:rsidRPr="0084260D" w:rsidRDefault="0084260D" w:rsidP="003C0A79">
      <w:r>
        <w:t>The Clerk reported the Independent Internal Auditor – Mike Gibson had returned from holiday and would complete the audit within the next two weeks. PKF Littlejohn had confirmed permission to delay the submission date to 22</w:t>
      </w:r>
      <w:r w:rsidRPr="0084260D">
        <w:rPr>
          <w:vertAlign w:val="superscript"/>
        </w:rPr>
        <w:t>nd</w:t>
      </w:r>
      <w:r>
        <w:t xml:space="preserve"> June 2015.</w:t>
      </w:r>
    </w:p>
    <w:p w:rsidR="003C0A79" w:rsidRPr="007645AF" w:rsidRDefault="003C0A79" w:rsidP="003C0A79">
      <w:pPr>
        <w:rPr>
          <w:b/>
          <w:sz w:val="20"/>
          <w:szCs w:val="20"/>
        </w:rPr>
      </w:pPr>
    </w:p>
    <w:p w:rsidR="003C0A79" w:rsidRDefault="0084260D" w:rsidP="003C0A79">
      <w:pPr>
        <w:rPr>
          <w:b/>
        </w:rPr>
      </w:pPr>
      <w:r>
        <w:rPr>
          <w:b/>
        </w:rPr>
        <w:t>Minute 23</w:t>
      </w:r>
      <w:r w:rsidR="003C0A79" w:rsidRPr="00672A98">
        <w:rPr>
          <w:b/>
        </w:rPr>
        <w:t xml:space="preserve"> Correspondence</w:t>
      </w:r>
    </w:p>
    <w:p w:rsidR="00096887" w:rsidRPr="00AC6277" w:rsidRDefault="00096887" w:rsidP="00096887">
      <w:pPr>
        <w:rPr>
          <w:u w:val="single"/>
        </w:rPr>
      </w:pPr>
      <w:r w:rsidRPr="00AC6277">
        <w:rPr>
          <w:u w:val="single"/>
        </w:rPr>
        <w:t>Received</w:t>
      </w:r>
    </w:p>
    <w:p w:rsidR="00096887" w:rsidRDefault="00096887" w:rsidP="00096887">
      <w:pPr>
        <w:pStyle w:val="ListParagraph"/>
        <w:numPr>
          <w:ilvl w:val="0"/>
          <w:numId w:val="8"/>
        </w:numPr>
      </w:pPr>
      <w:r>
        <w:t>ECC – Statement of Community Involvement – consultation period 14</w:t>
      </w:r>
      <w:r w:rsidRPr="00B73F9B">
        <w:rPr>
          <w:vertAlign w:val="superscript"/>
        </w:rPr>
        <w:t>th</w:t>
      </w:r>
      <w:r>
        <w:t xml:space="preserve"> May – 25</w:t>
      </w:r>
      <w:r w:rsidRPr="00B73F9B">
        <w:rPr>
          <w:vertAlign w:val="superscript"/>
        </w:rPr>
        <w:t>th</w:t>
      </w:r>
      <w:r>
        <w:t xml:space="preserve"> June. Councillors to forward comments to the Clerk</w:t>
      </w:r>
      <w:r w:rsidR="00DD1FAC">
        <w:t>.</w:t>
      </w:r>
    </w:p>
    <w:p w:rsidR="00096887" w:rsidRDefault="00096887" w:rsidP="00096887">
      <w:pPr>
        <w:pStyle w:val="ListParagraph"/>
        <w:numPr>
          <w:ilvl w:val="0"/>
          <w:numId w:val="8"/>
        </w:numPr>
      </w:pPr>
      <w:r>
        <w:t>EALC – Our Place Programme extended to 5</w:t>
      </w:r>
      <w:r w:rsidRPr="00B73F9B">
        <w:rPr>
          <w:vertAlign w:val="superscript"/>
        </w:rPr>
        <w:t>th</w:t>
      </w:r>
      <w:r>
        <w:t xml:space="preserve"> June</w:t>
      </w:r>
      <w:r w:rsidR="00DD1FAC">
        <w:t xml:space="preserve">. Information received a bit vague and very little time to research implications of the scheme. More time needed to consider.                       </w:t>
      </w:r>
    </w:p>
    <w:p w:rsidR="00096887" w:rsidRDefault="00096887" w:rsidP="00096887">
      <w:pPr>
        <w:pStyle w:val="ListParagraph"/>
        <w:numPr>
          <w:ilvl w:val="0"/>
          <w:numId w:val="8"/>
        </w:numPr>
      </w:pPr>
      <w:r>
        <w:t>EALC – Planning workshop 7</w:t>
      </w:r>
      <w:r w:rsidRPr="00B73F9B">
        <w:rPr>
          <w:vertAlign w:val="superscript"/>
        </w:rPr>
        <w:t>th</w:t>
      </w:r>
      <w:r>
        <w:t xml:space="preserve"> July</w:t>
      </w:r>
      <w:r w:rsidR="00DD1FAC">
        <w:t xml:space="preserve"> – PC to attend.</w:t>
      </w:r>
    </w:p>
    <w:p w:rsidR="00096887" w:rsidRPr="00BD6E3C" w:rsidRDefault="00096887" w:rsidP="00BD6E3C">
      <w:pPr>
        <w:pStyle w:val="ListParagraph"/>
        <w:numPr>
          <w:ilvl w:val="0"/>
          <w:numId w:val="8"/>
        </w:numPr>
      </w:pPr>
      <w:r>
        <w:t>EALC – Standing Orders 9</w:t>
      </w:r>
      <w:r w:rsidRPr="00B73F9B">
        <w:rPr>
          <w:vertAlign w:val="superscript"/>
        </w:rPr>
        <w:t>th</w:t>
      </w:r>
      <w:r>
        <w:t xml:space="preserve"> July</w:t>
      </w:r>
      <w:r w:rsidR="00DD1FAC">
        <w:t xml:space="preserve"> – Clerk &amp; PC to attend</w:t>
      </w:r>
    </w:p>
    <w:p w:rsidR="00096887" w:rsidRDefault="00096887" w:rsidP="00096887">
      <w:pPr>
        <w:pStyle w:val="ListParagraph"/>
        <w:numPr>
          <w:ilvl w:val="0"/>
          <w:numId w:val="8"/>
        </w:numPr>
      </w:pPr>
      <w:r>
        <w:t>Local Council Advisory Service – Free Risk Assessment course 1</w:t>
      </w:r>
      <w:r w:rsidRPr="00B73F9B">
        <w:rPr>
          <w:vertAlign w:val="superscript"/>
        </w:rPr>
        <w:t>st</w:t>
      </w:r>
      <w:r>
        <w:t xml:space="preserve"> July Champions Manor SWF</w:t>
      </w:r>
      <w:r w:rsidR="00DD1FAC">
        <w:t xml:space="preserve"> – PC to attend. YW may be interested tbc.</w:t>
      </w:r>
    </w:p>
    <w:p w:rsidR="00096887" w:rsidRDefault="00096887" w:rsidP="00096887">
      <w:pPr>
        <w:pStyle w:val="ListParagraph"/>
        <w:numPr>
          <w:ilvl w:val="0"/>
          <w:numId w:val="8"/>
        </w:numPr>
      </w:pPr>
      <w:r>
        <w:t>ECC – Replacement Waste Local Plan – Engagement Event Friday 19</w:t>
      </w:r>
      <w:r w:rsidRPr="00B73F9B">
        <w:rPr>
          <w:vertAlign w:val="superscript"/>
        </w:rPr>
        <w:t>th</w:t>
      </w:r>
      <w:r>
        <w:t xml:space="preserve"> June</w:t>
      </w:r>
      <w:r w:rsidR="00DD1FAC">
        <w:t>. Noted. No representatives to attend.</w:t>
      </w:r>
    </w:p>
    <w:p w:rsidR="003C0A79" w:rsidRPr="007645AF" w:rsidRDefault="003C0A79" w:rsidP="003C0A79">
      <w:pPr>
        <w:rPr>
          <w:b/>
          <w:sz w:val="20"/>
          <w:szCs w:val="20"/>
        </w:rPr>
      </w:pPr>
    </w:p>
    <w:p w:rsidR="003C0A79" w:rsidRDefault="00096887" w:rsidP="003C0A79">
      <w:pPr>
        <w:rPr>
          <w:b/>
        </w:rPr>
      </w:pPr>
      <w:r>
        <w:rPr>
          <w:b/>
        </w:rPr>
        <w:t xml:space="preserve">Minute 24 </w:t>
      </w:r>
      <w:r w:rsidR="003C0A79" w:rsidRPr="00672A98">
        <w:rPr>
          <w:b/>
        </w:rPr>
        <w:t>Planning</w:t>
      </w:r>
    </w:p>
    <w:p w:rsidR="003C0A79" w:rsidRDefault="003C0A79" w:rsidP="003C0A79">
      <w:pPr>
        <w:pStyle w:val="ListParagraph"/>
        <w:numPr>
          <w:ilvl w:val="0"/>
          <w:numId w:val="4"/>
        </w:numPr>
        <w:rPr>
          <w:b/>
        </w:rPr>
      </w:pPr>
      <w:r>
        <w:rPr>
          <w:b/>
        </w:rPr>
        <w:t>Applications Received:</w:t>
      </w:r>
    </w:p>
    <w:p w:rsidR="003C0A79" w:rsidRDefault="00DD1FAC" w:rsidP="00DD1FAC">
      <w:pPr>
        <w:pStyle w:val="ListParagraph"/>
        <w:numPr>
          <w:ilvl w:val="0"/>
          <w:numId w:val="9"/>
        </w:numPr>
      </w:pPr>
      <w:r>
        <w:t>19 Church End Lane 15/00666/FUL Single Storey Extension – No objection.</w:t>
      </w:r>
    </w:p>
    <w:p w:rsidR="00DD1FAC" w:rsidRDefault="00DD1FAC" w:rsidP="00DD1FAC">
      <w:pPr>
        <w:pStyle w:val="ListParagraph"/>
        <w:numPr>
          <w:ilvl w:val="0"/>
          <w:numId w:val="9"/>
        </w:numPr>
      </w:pPr>
      <w:r>
        <w:t>54 Ethelred Gardens 15/00693/FUL Rear Conservatory – No Objection</w:t>
      </w:r>
    </w:p>
    <w:p w:rsidR="003C0A79" w:rsidRDefault="00DD1FAC" w:rsidP="003C0A79">
      <w:pPr>
        <w:pStyle w:val="ListParagraph"/>
        <w:numPr>
          <w:ilvl w:val="0"/>
          <w:numId w:val="9"/>
        </w:numPr>
      </w:pPr>
      <w:r>
        <w:t>Land @ Former Runwell Hospital 15/00849/MAT – To Vary conditions 4,</w:t>
      </w:r>
      <w:r w:rsidR="00BD6E3C">
        <w:t xml:space="preserve"> </w:t>
      </w:r>
      <w:r>
        <w:t>17, 27 &amp; 28 to facilitate the demolition of the Boiler House – No objection.</w:t>
      </w:r>
    </w:p>
    <w:p w:rsidR="00BD6E3C" w:rsidRPr="00DD1FAC" w:rsidRDefault="00BD6E3C" w:rsidP="00BD6E3C">
      <w:pPr>
        <w:pStyle w:val="ListParagraph"/>
        <w:ind w:left="1080"/>
      </w:pPr>
    </w:p>
    <w:p w:rsidR="003C0A79" w:rsidRDefault="003C0A79" w:rsidP="003C0A79">
      <w:pPr>
        <w:pStyle w:val="ListParagraph"/>
        <w:numPr>
          <w:ilvl w:val="0"/>
          <w:numId w:val="4"/>
        </w:numPr>
      </w:pPr>
      <w:r w:rsidRPr="00753593">
        <w:rPr>
          <w:b/>
        </w:rPr>
        <w:t>Runwell Hospital Development</w:t>
      </w:r>
    </w:p>
    <w:p w:rsidR="003C0A79" w:rsidRDefault="003C0A79" w:rsidP="003C0A79">
      <w:r>
        <w:t>LM</w:t>
      </w:r>
      <w:r w:rsidR="00B011C3">
        <w:t xml:space="preserve"> reported that since the discovery of asbestos in the Boiler House the project had slowed; works for the formation of the new access road were well underway. LM had approached Countryside Properties for an update but nothing further had been heard.</w:t>
      </w:r>
    </w:p>
    <w:p w:rsidR="00121379" w:rsidRDefault="00121379" w:rsidP="003C0A79">
      <w:r>
        <w:t>RL expressed concern with regard to HGV movements in respect of traffic cont</w:t>
      </w:r>
      <w:r w:rsidR="00D168F1">
        <w:t>rol and noise control. Restrictions</w:t>
      </w:r>
      <w:r>
        <w:t xml:space="preserve"> on the numbers</w:t>
      </w:r>
      <w:r w:rsidR="00D168F1">
        <w:t>/times of HGV’s using the haul road</w:t>
      </w:r>
      <w:r>
        <w:t xml:space="preserve"> to be checked – LM noted this.</w:t>
      </w:r>
    </w:p>
    <w:p w:rsidR="003C0A79" w:rsidRPr="007645AF" w:rsidRDefault="003C0A79" w:rsidP="003C0A79">
      <w:pPr>
        <w:rPr>
          <w:sz w:val="20"/>
          <w:szCs w:val="20"/>
        </w:rPr>
      </w:pPr>
    </w:p>
    <w:p w:rsidR="003C0A79" w:rsidRDefault="003C0A79" w:rsidP="00B011C3">
      <w:pPr>
        <w:rPr>
          <w:b/>
        </w:rPr>
      </w:pPr>
      <w:r>
        <w:rPr>
          <w:b/>
        </w:rPr>
        <w:t xml:space="preserve">Minute </w:t>
      </w:r>
      <w:r w:rsidR="00B011C3">
        <w:rPr>
          <w:b/>
        </w:rPr>
        <w:t xml:space="preserve">25 </w:t>
      </w:r>
      <w:r w:rsidR="00121379">
        <w:rPr>
          <w:b/>
        </w:rPr>
        <w:t>Village Sign</w:t>
      </w:r>
    </w:p>
    <w:p w:rsidR="00121379" w:rsidRDefault="00121379" w:rsidP="00B011C3">
      <w:r>
        <w:t>JS reported the sign had been removed and was being stored at Brock Hill Farm. The sign and post (both solid oak) were in good condition however the s</w:t>
      </w:r>
      <w:r w:rsidR="00C76F20">
        <w:t>ign needs to be repainted and transported to Alpha Signs (the original sign makers). A small group comprising of JS, BC, LP and MR will oversee the project. The sign requires a further period to dry out. The council discussed re-building the base and/or the provision of a seat either in one section or all the way round the refurbished sign. Further details to follow. Immediate neighbours to be consulted once project has been agreed.</w:t>
      </w:r>
      <w:r w:rsidR="00A01AD2">
        <w:t xml:space="preserve"> Clerk to check with CCC Planning with regard to changes to the base.</w:t>
      </w:r>
    </w:p>
    <w:p w:rsidR="00C76F20" w:rsidRDefault="00C76F20" w:rsidP="00B011C3"/>
    <w:p w:rsidR="00C76F20" w:rsidRDefault="00C76F20" w:rsidP="00B011C3">
      <w:pPr>
        <w:rPr>
          <w:b/>
        </w:rPr>
      </w:pPr>
      <w:r>
        <w:rPr>
          <w:b/>
        </w:rPr>
        <w:t>Minute 26 Hall</w:t>
      </w:r>
    </w:p>
    <w:p w:rsidR="00C76F20" w:rsidRDefault="006004C3" w:rsidP="006004C3">
      <w:pPr>
        <w:pStyle w:val="ListParagraph"/>
        <w:numPr>
          <w:ilvl w:val="0"/>
          <w:numId w:val="10"/>
        </w:numPr>
      </w:pPr>
      <w:r>
        <w:t>Defibrillator/s – SV asked this be deferred to the next meeting.</w:t>
      </w:r>
    </w:p>
    <w:p w:rsidR="00C76F20" w:rsidRPr="00121379" w:rsidRDefault="00A01AD2" w:rsidP="00B011C3">
      <w:pPr>
        <w:pStyle w:val="ListParagraph"/>
        <w:numPr>
          <w:ilvl w:val="0"/>
          <w:numId w:val="10"/>
        </w:numPr>
      </w:pPr>
      <w:r>
        <w:t xml:space="preserve">Working party to take down Hall Curtains </w:t>
      </w:r>
      <w:r w:rsidR="0091078B">
        <w:t>–</w:t>
      </w:r>
      <w:r>
        <w:t xml:space="preserve"> </w:t>
      </w:r>
      <w:r w:rsidR="00BD6E3C">
        <w:t>W</w:t>
      </w:r>
      <w:r w:rsidR="0091078B">
        <w:t xml:space="preserve">ork party </w:t>
      </w:r>
      <w:r w:rsidR="00BD6E3C">
        <w:t xml:space="preserve">arranged </w:t>
      </w:r>
      <w:r w:rsidR="0091078B">
        <w:t xml:space="preserve"> </w:t>
      </w:r>
      <w:r w:rsidR="00BD6E3C">
        <w:t>Friday 17</w:t>
      </w:r>
      <w:r w:rsidR="00BD6E3C" w:rsidRPr="00BD6E3C">
        <w:rPr>
          <w:vertAlign w:val="superscript"/>
        </w:rPr>
        <w:t>th</w:t>
      </w:r>
      <w:r w:rsidR="00BD6E3C">
        <w:t xml:space="preserve"> July 2pm</w:t>
      </w:r>
    </w:p>
    <w:p w:rsidR="003C0A79" w:rsidRPr="007645AF" w:rsidRDefault="003C0A79" w:rsidP="003C0A79">
      <w:pPr>
        <w:rPr>
          <w:sz w:val="20"/>
          <w:szCs w:val="20"/>
        </w:rPr>
      </w:pPr>
    </w:p>
    <w:p w:rsidR="003C0A79" w:rsidRPr="00672A98" w:rsidRDefault="003C0A79" w:rsidP="003C0A79">
      <w:pPr>
        <w:rPr>
          <w:b/>
        </w:rPr>
      </w:pPr>
      <w:r>
        <w:rPr>
          <w:b/>
        </w:rPr>
        <w:t xml:space="preserve">Minute </w:t>
      </w:r>
      <w:r w:rsidR="0091078B">
        <w:rPr>
          <w:b/>
        </w:rPr>
        <w:t>27</w:t>
      </w:r>
      <w:r w:rsidRPr="00672A98">
        <w:rPr>
          <w:b/>
        </w:rPr>
        <w:t xml:space="preserve"> Reports</w:t>
      </w:r>
    </w:p>
    <w:p w:rsidR="003C0A79" w:rsidRDefault="003C0A79" w:rsidP="003C0A79">
      <w:pPr>
        <w:pStyle w:val="ListParagraph"/>
        <w:numPr>
          <w:ilvl w:val="1"/>
          <w:numId w:val="1"/>
        </w:numPr>
        <w:tabs>
          <w:tab w:val="clear" w:pos="1440"/>
          <w:tab w:val="num" w:pos="550"/>
        </w:tabs>
        <w:ind w:left="1100" w:hanging="1100"/>
      </w:pPr>
      <w:r w:rsidRPr="00B3609C">
        <w:rPr>
          <w:b/>
        </w:rPr>
        <w:t>Hall</w:t>
      </w:r>
      <w:r w:rsidRPr="00672A98">
        <w:t xml:space="preserve"> – R</w:t>
      </w:r>
      <w:r w:rsidR="0091078B">
        <w:t xml:space="preserve">L had nothing to report, matters to be dealt with at next </w:t>
      </w:r>
      <w:r w:rsidR="00A2005B">
        <w:t xml:space="preserve">Hall Committee meeting. Date of </w:t>
      </w:r>
      <w:r w:rsidR="0091078B">
        <w:t>meeting agreed 24</w:t>
      </w:r>
      <w:r w:rsidR="0091078B" w:rsidRPr="0091078B">
        <w:rPr>
          <w:vertAlign w:val="superscript"/>
        </w:rPr>
        <w:t>th</w:t>
      </w:r>
      <w:r w:rsidR="0091078B">
        <w:t xml:space="preserve"> June 7.30pm. It was agreed to co-opt Roy Dockerill back to the committee.</w:t>
      </w:r>
    </w:p>
    <w:p w:rsidR="00B1524D" w:rsidRDefault="00B1524D" w:rsidP="00B1524D">
      <w:pPr>
        <w:pStyle w:val="ListParagraph"/>
        <w:ind w:left="1100"/>
      </w:pPr>
      <w:r w:rsidRPr="00B1524D">
        <w:t>SM rai</w:t>
      </w:r>
      <w:r>
        <w:t>sed concerns regarding repairs to the drain in the entrance to the Hall, MR to discuss with SWB Builders as to the timing of the repair. Ways of safeguarding the area also discussed.</w:t>
      </w:r>
    </w:p>
    <w:p w:rsidR="00CD759C" w:rsidRPr="00B1524D" w:rsidRDefault="00CD759C" w:rsidP="00B1524D">
      <w:pPr>
        <w:pStyle w:val="ListParagraph"/>
        <w:ind w:left="1100"/>
      </w:pPr>
      <w:r>
        <w:t>BC commented that the microphone was not being used. Amplification to be placed on Hall Committee meeting agenda.</w:t>
      </w:r>
    </w:p>
    <w:p w:rsidR="00A2005B" w:rsidRDefault="003C0A79" w:rsidP="00A2005B">
      <w:pPr>
        <w:pStyle w:val="ListParagraph"/>
        <w:numPr>
          <w:ilvl w:val="1"/>
          <w:numId w:val="1"/>
        </w:numPr>
        <w:tabs>
          <w:tab w:val="clear" w:pos="1440"/>
        </w:tabs>
        <w:ind w:left="550" w:hanging="550"/>
      </w:pPr>
      <w:r w:rsidRPr="00B3609C">
        <w:rPr>
          <w:b/>
        </w:rPr>
        <w:t xml:space="preserve">Park </w:t>
      </w:r>
      <w:r w:rsidR="0091078B">
        <w:t xml:space="preserve">– </w:t>
      </w:r>
      <w:r w:rsidR="00A2005B">
        <w:t>MR reported that the work to the path would be started later this week. Park</w:t>
      </w:r>
      <w:r w:rsidR="00CD759C">
        <w:t xml:space="preserve"> C</w:t>
      </w:r>
      <w:r w:rsidR="00A2005B">
        <w:t>ommittee   meeting to follow the Hall</w:t>
      </w:r>
      <w:r w:rsidR="00CD759C">
        <w:t xml:space="preserve"> Committee</w:t>
      </w:r>
      <w:r w:rsidR="00A2005B">
        <w:t xml:space="preserve"> meeting as above 24</w:t>
      </w:r>
      <w:r w:rsidR="00A2005B" w:rsidRPr="00A2005B">
        <w:rPr>
          <w:vertAlign w:val="superscript"/>
        </w:rPr>
        <w:t>th</w:t>
      </w:r>
      <w:r w:rsidR="00A2005B">
        <w:t xml:space="preserve"> June 2015 at 8.30pm</w:t>
      </w:r>
    </w:p>
    <w:p w:rsidR="003C0A79" w:rsidRPr="00B65AFD" w:rsidRDefault="003C0A79" w:rsidP="003C0A79">
      <w:pPr>
        <w:pStyle w:val="ListParagraph"/>
        <w:numPr>
          <w:ilvl w:val="1"/>
          <w:numId w:val="1"/>
        </w:numPr>
        <w:tabs>
          <w:tab w:val="clear" w:pos="1440"/>
        </w:tabs>
        <w:ind w:left="550" w:hanging="550"/>
      </w:pPr>
      <w:r>
        <w:rPr>
          <w:b/>
        </w:rPr>
        <w:t xml:space="preserve">Allotments – </w:t>
      </w:r>
      <w:r w:rsidR="00DA5413">
        <w:t>LP asked whether the Council could provide some wood chips for the site.</w:t>
      </w:r>
      <w:r w:rsidR="00D32FE3">
        <w:t xml:space="preserve"> JM advised </w:t>
      </w:r>
      <w:r w:rsidR="00D32FE3" w:rsidRPr="00B65AFD">
        <w:t>he had a free supply but removal would need to be arranged. LP to arrange a work party.</w:t>
      </w:r>
    </w:p>
    <w:p w:rsidR="003C0A79" w:rsidRDefault="003C0A79" w:rsidP="003C0A79">
      <w:pPr>
        <w:pStyle w:val="ListParagraph"/>
        <w:numPr>
          <w:ilvl w:val="1"/>
          <w:numId w:val="1"/>
        </w:numPr>
        <w:tabs>
          <w:tab w:val="clear" w:pos="1440"/>
        </w:tabs>
        <w:ind w:left="550" w:hanging="550"/>
      </w:pPr>
      <w:r>
        <w:rPr>
          <w:b/>
        </w:rPr>
        <w:t>Footpaths –</w:t>
      </w:r>
      <w:r w:rsidR="00D32FE3">
        <w:t xml:space="preserve"> DD reported he would be happy to accompany any volunteer to walk the footpaths in Runwell in particular the path around the perimeter of the Hospital Development.</w:t>
      </w:r>
    </w:p>
    <w:p w:rsidR="003C0A79" w:rsidRDefault="003C0A79" w:rsidP="003C0A79">
      <w:pPr>
        <w:pStyle w:val="ListParagraph"/>
        <w:numPr>
          <w:ilvl w:val="1"/>
          <w:numId w:val="1"/>
        </w:numPr>
        <w:tabs>
          <w:tab w:val="clear" w:pos="1440"/>
        </w:tabs>
        <w:ind w:left="550" w:hanging="550"/>
      </w:pPr>
      <w:r>
        <w:rPr>
          <w:b/>
        </w:rPr>
        <w:t xml:space="preserve">Runwell Roundabout – </w:t>
      </w:r>
      <w:r>
        <w:t xml:space="preserve">KR </w:t>
      </w:r>
      <w:r w:rsidR="00660C73">
        <w:t xml:space="preserve">was not in attendance but </w:t>
      </w:r>
      <w:r>
        <w:t>articles for the summer edition</w:t>
      </w:r>
      <w:r w:rsidR="00660C73">
        <w:t xml:space="preserve"> must be forwarded asap</w:t>
      </w:r>
      <w:r>
        <w:t>.</w:t>
      </w:r>
    </w:p>
    <w:p w:rsidR="003C0A79" w:rsidRDefault="003C0A79" w:rsidP="003C0A79">
      <w:pPr>
        <w:pStyle w:val="ListParagraph"/>
        <w:numPr>
          <w:ilvl w:val="1"/>
          <w:numId w:val="1"/>
        </w:numPr>
        <w:tabs>
          <w:tab w:val="clear" w:pos="1440"/>
        </w:tabs>
        <w:ind w:left="550" w:hanging="550"/>
      </w:pPr>
      <w:r>
        <w:rPr>
          <w:b/>
        </w:rPr>
        <w:t>CCC –</w:t>
      </w:r>
      <w:r>
        <w:t xml:space="preserve"> </w:t>
      </w:r>
      <w:r w:rsidR="00660C73">
        <w:t>LM had no further report.</w:t>
      </w:r>
    </w:p>
    <w:p w:rsidR="003C0A79" w:rsidRDefault="003C0A79" w:rsidP="003C0A79">
      <w:pPr>
        <w:pStyle w:val="ListParagraph"/>
        <w:numPr>
          <w:ilvl w:val="1"/>
          <w:numId w:val="1"/>
        </w:numPr>
        <w:tabs>
          <w:tab w:val="clear" w:pos="1440"/>
        </w:tabs>
        <w:ind w:left="550" w:hanging="550"/>
      </w:pPr>
      <w:r>
        <w:rPr>
          <w:b/>
        </w:rPr>
        <w:t>Tree Wardens –</w:t>
      </w:r>
      <w:r w:rsidR="00660C73">
        <w:t xml:space="preserve"> SM asked whether anyone had noted “Oak Die Back” in the parish – none seen.</w:t>
      </w:r>
    </w:p>
    <w:p w:rsidR="003C0A79" w:rsidRPr="007645AF" w:rsidRDefault="003C0A79" w:rsidP="003C0A79">
      <w:pPr>
        <w:pStyle w:val="ListParagraph"/>
        <w:ind w:left="550"/>
        <w:rPr>
          <w:sz w:val="20"/>
          <w:szCs w:val="20"/>
        </w:rPr>
      </w:pPr>
    </w:p>
    <w:p w:rsidR="003C0A79" w:rsidRPr="002A233B" w:rsidRDefault="00CD759C" w:rsidP="003C0A79">
      <w:pPr>
        <w:pStyle w:val="Heading1"/>
        <w:rPr>
          <w:b w:val="0"/>
          <w:u w:val="none"/>
        </w:rPr>
      </w:pPr>
      <w:r>
        <w:rPr>
          <w:u w:val="none"/>
        </w:rPr>
        <w:t>Minute 28</w:t>
      </w:r>
      <w:r w:rsidR="003C0A79" w:rsidRPr="00342907">
        <w:rPr>
          <w:u w:val="none"/>
        </w:rPr>
        <w:t xml:space="preserve"> Notices of Motions and Future Business</w:t>
      </w:r>
      <w:r w:rsidR="003C0A79">
        <w:rPr>
          <w:u w:val="none"/>
        </w:rPr>
        <w:t xml:space="preserve">: </w:t>
      </w:r>
      <w:r>
        <w:rPr>
          <w:b w:val="0"/>
          <w:u w:val="none"/>
        </w:rPr>
        <w:t>Hall and Park Committee meetings arranged for 24</w:t>
      </w:r>
      <w:r w:rsidRPr="00CD759C">
        <w:rPr>
          <w:b w:val="0"/>
          <w:u w:val="none"/>
          <w:vertAlign w:val="superscript"/>
        </w:rPr>
        <w:t>th</w:t>
      </w:r>
      <w:r>
        <w:rPr>
          <w:b w:val="0"/>
          <w:u w:val="none"/>
        </w:rPr>
        <w:t xml:space="preserve"> June 2015 at 7.30pm and 8.30pm respectively.</w:t>
      </w:r>
    </w:p>
    <w:p w:rsidR="003C0A79" w:rsidRPr="007645AF" w:rsidRDefault="003C0A79" w:rsidP="003C0A79">
      <w:pPr>
        <w:pStyle w:val="Heading1"/>
        <w:rPr>
          <w:b w:val="0"/>
          <w:sz w:val="20"/>
          <w:szCs w:val="20"/>
          <w:u w:val="none"/>
        </w:rPr>
      </w:pPr>
    </w:p>
    <w:p w:rsidR="003C0A79" w:rsidRPr="00B65AFD" w:rsidRDefault="00B65AFD" w:rsidP="00B65AFD">
      <w:pPr>
        <w:pStyle w:val="Heading1"/>
        <w:rPr>
          <w:u w:val="none"/>
        </w:rPr>
      </w:pPr>
      <w:r>
        <w:rPr>
          <w:u w:val="none"/>
        </w:rPr>
        <w:t>Minute 29</w:t>
      </w:r>
      <w:r w:rsidR="003C0A79">
        <w:rPr>
          <w:u w:val="none"/>
        </w:rPr>
        <w:t xml:space="preserve"> Agenda Items for next meeting</w:t>
      </w:r>
      <w:r>
        <w:rPr>
          <w:u w:val="none"/>
        </w:rPr>
        <w:t xml:space="preserve">: </w:t>
      </w:r>
      <w:r w:rsidRPr="00B65AFD">
        <w:rPr>
          <w:b w:val="0"/>
          <w:u w:val="none"/>
        </w:rPr>
        <w:t>Defibril</w:t>
      </w:r>
      <w:r w:rsidR="00BD65EC">
        <w:rPr>
          <w:b w:val="0"/>
          <w:u w:val="none"/>
        </w:rPr>
        <w:t>l</w:t>
      </w:r>
      <w:r w:rsidRPr="00B65AFD">
        <w:rPr>
          <w:b w:val="0"/>
          <w:u w:val="none"/>
        </w:rPr>
        <w:t>ators, Village Sign</w:t>
      </w:r>
      <w:r w:rsidR="004A1ED8">
        <w:rPr>
          <w:b w:val="0"/>
          <w:u w:val="none"/>
        </w:rPr>
        <w:t>, Annual Reviews re Salaries, Grants and Allowances etc.</w:t>
      </w:r>
    </w:p>
    <w:p w:rsidR="003C0A79" w:rsidRDefault="003C0A79" w:rsidP="003C0A79">
      <w:pPr>
        <w:pStyle w:val="ListParagraph"/>
      </w:pPr>
    </w:p>
    <w:p w:rsidR="003C0A79" w:rsidRDefault="004A1ED8" w:rsidP="003C0A79">
      <w:r>
        <w:t>The meeting closed at 9.15</w:t>
      </w:r>
      <w:r w:rsidR="003C0A79">
        <w:t>pm</w:t>
      </w:r>
    </w:p>
    <w:p w:rsidR="00263991" w:rsidRDefault="00263991"/>
    <w:sectPr w:rsidR="00263991" w:rsidSect="00FC1E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0E4"/>
    <w:multiLevelType w:val="hybridMultilevel"/>
    <w:tmpl w:val="D9FEA0AE"/>
    <w:lvl w:ilvl="0" w:tplc="9F749A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2D3D78"/>
    <w:multiLevelType w:val="hybridMultilevel"/>
    <w:tmpl w:val="F0D22BE8"/>
    <w:lvl w:ilvl="0" w:tplc="79B478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4240E"/>
    <w:multiLevelType w:val="hybridMultilevel"/>
    <w:tmpl w:val="C714F706"/>
    <w:lvl w:ilvl="0" w:tplc="C2B42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904C85"/>
    <w:multiLevelType w:val="hybridMultilevel"/>
    <w:tmpl w:val="EE66520C"/>
    <w:lvl w:ilvl="0" w:tplc="D26AA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4602B3"/>
    <w:multiLevelType w:val="hybridMultilevel"/>
    <w:tmpl w:val="2F3C5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6499F"/>
    <w:multiLevelType w:val="hybridMultilevel"/>
    <w:tmpl w:val="562AFDF4"/>
    <w:lvl w:ilvl="0" w:tplc="17AA1C2A">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34732"/>
    <w:multiLevelType w:val="hybridMultilevel"/>
    <w:tmpl w:val="C6B493C4"/>
    <w:lvl w:ilvl="0" w:tplc="E19A84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A0763"/>
    <w:multiLevelType w:val="hybridMultilevel"/>
    <w:tmpl w:val="FA263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0"/>
  </w:num>
  <w:num w:numId="6">
    <w:abstractNumId w:val="1"/>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79"/>
    <w:rsid w:val="0004636C"/>
    <w:rsid w:val="00053880"/>
    <w:rsid w:val="00096887"/>
    <w:rsid w:val="000D6835"/>
    <w:rsid w:val="00121379"/>
    <w:rsid w:val="0012354F"/>
    <w:rsid w:val="00245D59"/>
    <w:rsid w:val="00263991"/>
    <w:rsid w:val="003C0A79"/>
    <w:rsid w:val="004A1ED8"/>
    <w:rsid w:val="004F7027"/>
    <w:rsid w:val="006004C3"/>
    <w:rsid w:val="00660C73"/>
    <w:rsid w:val="007320B0"/>
    <w:rsid w:val="00781CE4"/>
    <w:rsid w:val="0084260D"/>
    <w:rsid w:val="008D6892"/>
    <w:rsid w:val="0091078B"/>
    <w:rsid w:val="00A01AD2"/>
    <w:rsid w:val="00A2005B"/>
    <w:rsid w:val="00B011C3"/>
    <w:rsid w:val="00B1524D"/>
    <w:rsid w:val="00B529A0"/>
    <w:rsid w:val="00B65AFD"/>
    <w:rsid w:val="00BD65EC"/>
    <w:rsid w:val="00BD6E3C"/>
    <w:rsid w:val="00C76F20"/>
    <w:rsid w:val="00CD759C"/>
    <w:rsid w:val="00D168F1"/>
    <w:rsid w:val="00D32FE3"/>
    <w:rsid w:val="00DA5413"/>
    <w:rsid w:val="00DD1FAC"/>
    <w:rsid w:val="00EB2B93"/>
    <w:rsid w:val="00F34151"/>
    <w:rsid w:val="00F95816"/>
    <w:rsid w:val="00FB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96064-14F7-443F-93E2-23EB8509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0A7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A79"/>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3C0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4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2015-07-02T08:14:00Z</dcterms:created>
  <dcterms:modified xsi:type="dcterms:W3CDTF">2015-07-02T08:14:00Z</dcterms:modified>
</cp:coreProperties>
</file>